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86" w:rsidRDefault="00C33292">
      <w:r>
        <w:rPr>
          <w:rFonts w:hint="eastAsia"/>
          <w:noProof/>
        </w:rPr>
        <mc:AlternateContent>
          <mc:Choice Requires="wps">
            <w:drawing>
              <wp:anchor distT="0" distB="0" distL="114300" distR="114300" simplePos="0" relativeHeight="251659264" behindDoc="0" locked="0" layoutInCell="1" allowOverlap="1" wp14:anchorId="77B4BF65" wp14:editId="6C1F6D8A">
                <wp:simplePos x="0" y="0"/>
                <wp:positionH relativeFrom="column">
                  <wp:posOffset>110490</wp:posOffset>
                </wp:positionH>
                <wp:positionV relativeFrom="paragraph">
                  <wp:posOffset>-126365</wp:posOffset>
                </wp:positionV>
                <wp:extent cx="5381625" cy="523875"/>
                <wp:effectExtent l="0" t="0" r="28575" b="28575"/>
                <wp:wrapNone/>
                <wp:docPr id="2" name="フローチャート : 代替処理 2"/>
                <wp:cNvGraphicFramePr/>
                <a:graphic xmlns:a="http://schemas.openxmlformats.org/drawingml/2006/main">
                  <a:graphicData uri="http://schemas.microsoft.com/office/word/2010/wordprocessingShape">
                    <wps:wsp>
                      <wps:cNvSpPr/>
                      <wps:spPr>
                        <a:xfrm>
                          <a:off x="0" y="0"/>
                          <a:ext cx="5381625" cy="523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CD49E9" w:rsidRPr="002E1F40" w:rsidRDefault="00CD49E9" w:rsidP="002E1F40">
                            <w:pPr>
                              <w:jc w:val="center"/>
                              <w:rPr>
                                <w:b/>
                                <w:color w:val="0070C0"/>
                                <w:sz w:val="40"/>
                                <w:szCs w:val="40"/>
                              </w:rPr>
                            </w:pPr>
                            <w:r w:rsidRPr="00CE00FE">
                              <w:rPr>
                                <w:rFonts w:hint="eastAsia"/>
                                <w:b/>
                                <w:color w:val="0070C0"/>
                                <w:spacing w:val="88"/>
                                <w:kern w:val="0"/>
                                <w:sz w:val="40"/>
                                <w:szCs w:val="40"/>
                                <w:fitText w:val="7340" w:id="646723584"/>
                              </w:rPr>
                              <w:t>安全のための自主チェック</w:t>
                            </w:r>
                            <w:r w:rsidRPr="00CE00FE">
                              <w:rPr>
                                <w:rFonts w:hint="eastAsia"/>
                                <w:b/>
                                <w:color w:val="0070C0"/>
                                <w:spacing w:val="4"/>
                                <w:kern w:val="0"/>
                                <w:sz w:val="40"/>
                                <w:szCs w:val="40"/>
                                <w:fitText w:val="7340" w:id="646723584"/>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6" type="#_x0000_t176" style="position:absolute;left:0;text-align:left;margin-left:8.7pt;margin-top:-9.95pt;width:423.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" fillcolor="white [3201]" strokecolor="#f79646 [3209]" strokeweight="2pt">
                <v:textbox>
                  <w:txbxContent>
                    <w:p w:rsidR="00CD49E9" w:rsidRPr="002E1F40" w:rsidRDefault="00CD49E9" w:rsidP="002E1F40">
                      <w:pPr>
                        <w:jc w:val="center"/>
                        <w:rPr>
                          <w:b/>
                          <w:color w:val="0070C0"/>
                          <w:sz w:val="40"/>
                          <w:szCs w:val="40"/>
                        </w:rPr>
                      </w:pPr>
                      <w:r w:rsidRPr="00CE00FE">
                        <w:rPr>
                          <w:rFonts w:hint="eastAsia"/>
                          <w:b/>
                          <w:color w:val="0070C0"/>
                          <w:spacing w:val="88"/>
                          <w:kern w:val="0"/>
                          <w:sz w:val="40"/>
                          <w:szCs w:val="40"/>
                          <w:fitText w:val="7340" w:id="646723584"/>
                        </w:rPr>
                        <w:t>安全のための自主チェック</w:t>
                      </w:r>
                      <w:r w:rsidRPr="00CE00FE">
                        <w:rPr>
                          <w:rFonts w:hint="eastAsia"/>
                          <w:b/>
                          <w:color w:val="0070C0"/>
                          <w:spacing w:val="4"/>
                          <w:kern w:val="0"/>
                          <w:sz w:val="40"/>
                          <w:szCs w:val="40"/>
                          <w:fitText w:val="7340" w:id="646723584"/>
                        </w:rPr>
                        <w:t>表</w:t>
                      </w:r>
                    </w:p>
                  </w:txbxContent>
                </v:textbox>
              </v:shape>
            </w:pict>
          </mc:Fallback>
        </mc:AlternateContent>
      </w:r>
    </w:p>
    <w:tbl>
      <w:tblPr>
        <w:tblStyle w:val="a3"/>
        <w:tblpPr w:leftFromText="142" w:rightFromText="142" w:vertAnchor="page" w:horzAnchor="margin" w:tblpXSpec="center" w:tblpY="1441"/>
        <w:tblOverlap w:val="never"/>
        <w:tblW w:w="10456" w:type="dxa"/>
        <w:tblLayout w:type="fixed"/>
        <w:tblLook w:val="04A0" w:firstRow="1" w:lastRow="0" w:firstColumn="1" w:lastColumn="0" w:noHBand="0" w:noVBand="1"/>
      </w:tblPr>
      <w:tblGrid>
        <w:gridCol w:w="959"/>
        <w:gridCol w:w="1701"/>
        <w:gridCol w:w="7796"/>
      </w:tblGrid>
      <w:tr w:rsidR="00CE00FE" w:rsidTr="00CE00FE">
        <w:trPr>
          <w:trHeight w:val="269"/>
        </w:trPr>
        <w:tc>
          <w:tcPr>
            <w:tcW w:w="959" w:type="dxa"/>
            <w:vAlign w:val="center"/>
          </w:tcPr>
          <w:p w:rsidR="00CE00FE" w:rsidRPr="002E1F40" w:rsidRDefault="00CE00FE" w:rsidP="00CE00FE">
            <w:pPr>
              <w:widowControl/>
              <w:jc w:val="center"/>
              <w:rPr>
                <w:rFonts w:ascii="ＭＳ 明朝" w:hAnsi="ＭＳ 明朝" w:cs="ＭＳ 明朝"/>
                <w:szCs w:val="21"/>
              </w:rPr>
            </w:pPr>
            <w:r w:rsidRPr="002E1F40">
              <w:rPr>
                <w:rFonts w:ascii="ＭＳ 明朝" w:hAnsi="ＭＳ 明朝" w:cs="ＭＳ 明朝" w:hint="eastAsia"/>
                <w:szCs w:val="21"/>
              </w:rPr>
              <w:t>番号</w:t>
            </w:r>
          </w:p>
        </w:tc>
        <w:tc>
          <w:tcPr>
            <w:tcW w:w="1701" w:type="dxa"/>
            <w:vAlign w:val="center"/>
          </w:tcPr>
          <w:p w:rsidR="00CE00FE" w:rsidRPr="002E1F40" w:rsidRDefault="00CE00FE" w:rsidP="00CE00FE">
            <w:pPr>
              <w:pStyle w:val="Default"/>
              <w:jc w:val="center"/>
              <w:rPr>
                <w:rFonts w:ascii="ＭＳ 明朝" w:hAnsi="ＭＳ 明朝" w:cs="ＭＳ 明朝"/>
                <w:sz w:val="21"/>
                <w:szCs w:val="21"/>
              </w:rPr>
            </w:pPr>
            <w:r w:rsidRPr="002E1F40">
              <w:rPr>
                <w:rFonts w:ascii="ＭＳ 明朝" w:hAnsi="ＭＳ 明朝" w:cs="ＭＳ 明朝" w:hint="eastAsia"/>
                <w:sz w:val="21"/>
                <w:szCs w:val="21"/>
              </w:rPr>
              <w:t>チェック</w:t>
            </w:r>
          </w:p>
        </w:tc>
        <w:tc>
          <w:tcPr>
            <w:tcW w:w="7796" w:type="dxa"/>
            <w:vAlign w:val="center"/>
          </w:tcPr>
          <w:p w:rsidR="00CE00FE" w:rsidRPr="002E1F40" w:rsidRDefault="00CE00FE" w:rsidP="00CE00FE">
            <w:pPr>
              <w:pStyle w:val="Default"/>
              <w:tabs>
                <w:tab w:val="left" w:pos="4803"/>
              </w:tabs>
              <w:jc w:val="center"/>
              <w:rPr>
                <w:rFonts w:ascii="ＭＳ 明朝" w:hAnsi="ＭＳ 明朝" w:cs="ＭＳ 明朝"/>
                <w:sz w:val="21"/>
                <w:szCs w:val="21"/>
              </w:rPr>
            </w:pPr>
            <w:r w:rsidRPr="002E1F40">
              <w:rPr>
                <w:rFonts w:ascii="ＭＳ 明朝" w:hAnsi="ＭＳ 明朝" w:cs="ＭＳ 明朝" w:hint="eastAsia"/>
                <w:sz w:val="21"/>
                <w:szCs w:val="21"/>
              </w:rPr>
              <w:t>内　　容</w:t>
            </w:r>
          </w:p>
        </w:tc>
      </w:tr>
      <w:tr w:rsidR="00CE00FE" w:rsidTr="00CE00FE">
        <w:trPr>
          <w:trHeight w:val="707"/>
        </w:trPr>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r w:rsidRPr="002E1F40">
              <w:rPr>
                <w:rFonts w:ascii="ＭＳ 明朝" w:hAnsi="ＭＳ 明朝" w:cs="ＭＳ 明朝" w:hint="eastAsia"/>
                <w:sz w:val="21"/>
                <w:szCs w:val="21"/>
              </w:rPr>
              <w:t>１</w:t>
            </w:r>
          </w:p>
        </w:tc>
        <w:tc>
          <w:tcPr>
            <w:tcW w:w="1701" w:type="dxa"/>
            <w:vMerge w:val="restart"/>
            <w:vAlign w:val="center"/>
          </w:tcPr>
          <w:p w:rsidR="00CE00FE" w:rsidRPr="002E1F40" w:rsidRDefault="00CE00FE" w:rsidP="00CE00FE">
            <w:pPr>
              <w:pStyle w:val="Default"/>
              <w:jc w:val="center"/>
              <w:rPr>
                <w:rFonts w:ascii="ＭＳ 明朝" w:hAnsi="ＭＳ 明朝" w:cs="ＭＳ 明朝"/>
                <w:sz w:val="21"/>
                <w:szCs w:val="21"/>
              </w:rPr>
            </w:pPr>
            <w:r w:rsidRPr="002E1F40">
              <w:rPr>
                <w:rFonts w:ascii="ＭＳ 明朝" w:hAnsi="ＭＳ 明朝" w:cs="ＭＳ 明朝" w:hint="eastAsia"/>
                <w:sz w:val="21"/>
                <w:szCs w:val="21"/>
              </w:rPr>
              <w:t>開</w:t>
            </w:r>
            <w:r>
              <w:rPr>
                <w:rFonts w:ascii="ＭＳ 明朝" w:hAnsi="ＭＳ 明朝" w:cs="ＭＳ 明朝" w:hint="eastAsia"/>
                <w:sz w:val="21"/>
                <w:szCs w:val="21"/>
              </w:rPr>
              <w:t xml:space="preserve"> </w:t>
            </w:r>
            <w:r w:rsidRPr="002E1F40">
              <w:rPr>
                <w:rFonts w:ascii="ＭＳ 明朝" w:hAnsi="ＭＳ 明朝" w:cs="ＭＳ 明朝" w:hint="eastAsia"/>
                <w:sz w:val="21"/>
                <w:szCs w:val="21"/>
              </w:rPr>
              <w:t>設</w:t>
            </w:r>
            <w:r>
              <w:rPr>
                <w:rFonts w:ascii="ＭＳ 明朝" w:hAnsi="ＭＳ 明朝" w:cs="ＭＳ 明朝" w:hint="eastAsia"/>
                <w:sz w:val="21"/>
                <w:szCs w:val="21"/>
              </w:rPr>
              <w:t xml:space="preserve"> </w:t>
            </w:r>
            <w:r w:rsidRPr="002E1F40">
              <w:rPr>
                <w:rFonts w:ascii="ＭＳ 明朝" w:hAnsi="ＭＳ 明朝" w:cs="ＭＳ 明朝" w:hint="eastAsia"/>
                <w:sz w:val="21"/>
                <w:szCs w:val="21"/>
              </w:rPr>
              <w:t>場</w:t>
            </w:r>
            <w:r>
              <w:rPr>
                <w:rFonts w:ascii="ＭＳ 明朝" w:hAnsi="ＭＳ 明朝" w:cs="ＭＳ 明朝" w:hint="eastAsia"/>
                <w:sz w:val="21"/>
                <w:szCs w:val="21"/>
              </w:rPr>
              <w:t xml:space="preserve"> </w:t>
            </w:r>
            <w:r w:rsidRPr="002E1F40">
              <w:rPr>
                <w:rFonts w:ascii="ＭＳ 明朝" w:hAnsi="ＭＳ 明朝" w:cs="ＭＳ 明朝" w:hint="eastAsia"/>
                <w:sz w:val="21"/>
                <w:szCs w:val="21"/>
              </w:rPr>
              <w:t>所</w:t>
            </w:r>
          </w:p>
        </w:tc>
        <w:tc>
          <w:tcPr>
            <w:tcW w:w="7796" w:type="dxa"/>
            <w:vAlign w:val="center"/>
          </w:tcPr>
          <w:p w:rsidR="00CE00FE" w:rsidRPr="002E1F40" w:rsidRDefault="00CE00FE" w:rsidP="00CE00FE">
            <w:pPr>
              <w:pStyle w:val="Default"/>
              <w:tabs>
                <w:tab w:val="left" w:pos="4803"/>
              </w:tabs>
              <w:ind w:left="3360" w:hangingChars="1600" w:hanging="3360"/>
              <w:jc w:val="both"/>
              <w:rPr>
                <w:rFonts w:hAnsi="ＭＳ ゴシック"/>
                <w:sz w:val="21"/>
                <w:szCs w:val="21"/>
              </w:rPr>
            </w:pPr>
            <w:r w:rsidRPr="002E1F40">
              <w:rPr>
                <w:rFonts w:ascii="ＭＳ 明朝" w:hAnsi="ＭＳ 明朝" w:cs="ＭＳ 明朝" w:hint="eastAsia"/>
                <w:sz w:val="21"/>
                <w:szCs w:val="21"/>
              </w:rPr>
              <w:t>□</w:t>
            </w:r>
            <w:r w:rsidRPr="000204C2">
              <w:rPr>
                <w:rFonts w:ascii="ＭＳ 明朝" w:hAnsi="ＭＳ 明朝" w:cs="ＭＳ 明朝"/>
                <w:sz w:val="21"/>
                <w:szCs w:val="21"/>
              </w:rPr>
              <w:t>消火栓、防火水槽等</w:t>
            </w:r>
            <w:r w:rsidRPr="002E1F40">
              <w:rPr>
                <w:rFonts w:ascii="ＭＳ 明朝" w:hAnsi="ＭＳ 明朝" w:cs="ＭＳ 明朝"/>
                <w:sz w:val="21"/>
                <w:szCs w:val="21"/>
              </w:rPr>
              <w:t>の消防水利使用の妨げる場所には設置して</w:t>
            </w:r>
            <w:r w:rsidRPr="002E1F40">
              <w:rPr>
                <w:rFonts w:ascii="ＭＳ 明朝" w:hAnsi="ＭＳ 明朝" w:cs="ＭＳ 明朝" w:hint="eastAsia"/>
                <w:sz w:val="21"/>
                <w:szCs w:val="21"/>
              </w:rPr>
              <w:t>い</w:t>
            </w:r>
            <w:r w:rsidRPr="002E1F40">
              <w:rPr>
                <w:rFonts w:ascii="ＭＳ 明朝" w:hAnsi="ＭＳ 明朝" w:cs="ＭＳ 明朝"/>
                <w:sz w:val="21"/>
                <w:szCs w:val="21"/>
              </w:rPr>
              <w:t>ま</w:t>
            </w:r>
            <w:r w:rsidRPr="002E1F40">
              <w:rPr>
                <w:rFonts w:ascii="ＭＳ 明朝" w:hAnsi="ＭＳ 明朝" w:cs="ＭＳ 明朝" w:hint="eastAsia"/>
                <w:sz w:val="21"/>
                <w:szCs w:val="21"/>
              </w:rPr>
              <w:t>せ</w:t>
            </w:r>
            <w:r w:rsidRPr="000204C2">
              <w:rPr>
                <w:rFonts w:ascii="ＭＳ 明朝" w:hAnsi="ＭＳ 明朝" w:cs="ＭＳ 明朝"/>
                <w:sz w:val="21"/>
                <w:szCs w:val="21"/>
              </w:rPr>
              <w:t>ん。</w:t>
            </w:r>
            <w:r>
              <w:rPr>
                <w:rFonts w:ascii="ＭＳ 明朝" w:hAnsi="ＭＳ 明朝" w:cs="ＭＳ 明朝" w:hint="eastAsia"/>
                <w:sz w:val="21"/>
                <w:szCs w:val="21"/>
              </w:rPr>
              <w:t xml:space="preserve">　　</w:t>
            </w:r>
            <w:r w:rsidRPr="000204C2">
              <w:rPr>
                <w:rFonts w:ascii="ＭＳ 明朝" w:hAnsi="ＭＳ 明朝" w:cs="ＭＳ 明朝"/>
                <w:sz w:val="21"/>
                <w:szCs w:val="21"/>
              </w:rPr>
              <w:t>（消防水利から５ｍ以上離れている。）</w:t>
            </w:r>
          </w:p>
        </w:tc>
      </w:tr>
      <w:tr w:rsidR="00CE00FE" w:rsidTr="00CE00FE">
        <w:trPr>
          <w:trHeight w:val="615"/>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0204C2">
              <w:rPr>
                <w:rFonts w:ascii="ＭＳ ゴシック" w:hAnsi="ＭＳ ゴシック" w:cs="ＭＳ ゴシック"/>
                <w:color w:val="000000"/>
                <w:kern w:val="0"/>
                <w:szCs w:val="21"/>
              </w:rPr>
              <w:t>□</w:t>
            </w:r>
            <w:r w:rsidRPr="000204C2">
              <w:rPr>
                <w:rFonts w:ascii="ＭＳ 明朝" w:hAnsi="ＭＳ 明朝" w:cs="ＭＳ 明朝"/>
                <w:color w:val="000000"/>
                <w:kern w:val="0"/>
                <w:szCs w:val="21"/>
              </w:rPr>
              <w:t>消防車の進入路付近や周囲の建物からの避難に支障がでる場所には設置していません。</w:t>
            </w:r>
          </w:p>
        </w:tc>
      </w:tr>
      <w:tr w:rsidR="00CE00FE" w:rsidTr="00CE00FE">
        <w:trPr>
          <w:trHeight w:val="485"/>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0204C2">
              <w:rPr>
                <w:rFonts w:ascii="ＭＳ ゴシック" w:hAnsi="ＭＳ ゴシック" w:cs="ＭＳ ゴシック"/>
                <w:color w:val="000000"/>
                <w:kern w:val="0"/>
                <w:szCs w:val="21"/>
              </w:rPr>
              <w:t>□</w:t>
            </w:r>
            <w:r w:rsidRPr="000204C2">
              <w:rPr>
                <w:rFonts w:ascii="ＭＳ 明朝" w:hAnsi="ＭＳ 明朝" w:cs="ＭＳ 明朝"/>
                <w:color w:val="000000"/>
                <w:kern w:val="0"/>
                <w:szCs w:val="21"/>
              </w:rPr>
              <w:t>強風等で屋台・テントが倒壊、飛散したりしないよう固定されています。</w:t>
            </w:r>
          </w:p>
        </w:tc>
      </w:tr>
      <w:tr w:rsidR="00CE00FE" w:rsidTr="00CE00FE">
        <w:trPr>
          <w:trHeight w:val="460"/>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7796" w:type="dxa"/>
            <w:vAlign w:val="center"/>
          </w:tcPr>
          <w:p w:rsidR="00CE00FE" w:rsidRPr="000204C2" w:rsidRDefault="00CE00FE" w:rsidP="00CE00FE">
            <w:pPr>
              <w:autoSpaceDE w:val="0"/>
              <w:autoSpaceDN w:val="0"/>
              <w:adjustRightInd w:val="0"/>
              <w:rPr>
                <w:rFonts w:ascii="ＭＳ 明朝" w:hAnsi="ＭＳ 明朝" w:cs="ＭＳ 明朝"/>
                <w:color w:val="000000"/>
                <w:kern w:val="0"/>
                <w:szCs w:val="21"/>
              </w:rPr>
            </w:pPr>
            <w:r w:rsidRPr="000204C2">
              <w:rPr>
                <w:rFonts w:ascii="ＭＳ ゴシック" w:hAnsi="ＭＳ ゴシック" w:cs="ＭＳ ゴシック"/>
                <w:color w:val="000000"/>
                <w:kern w:val="0"/>
                <w:szCs w:val="21"/>
              </w:rPr>
              <w:t>□</w:t>
            </w:r>
            <w:r w:rsidRPr="000204C2">
              <w:rPr>
                <w:rFonts w:ascii="ＭＳ 明朝" w:hAnsi="ＭＳ 明朝" w:cs="ＭＳ 明朝"/>
                <w:color w:val="000000"/>
                <w:kern w:val="0"/>
                <w:szCs w:val="21"/>
              </w:rPr>
              <w:t>発電機を使用しています。（</w:t>
            </w:r>
            <w:r w:rsidR="00C04C9B">
              <w:rPr>
                <w:rFonts w:ascii="ＭＳ 明朝" w:hAnsi="ＭＳ 明朝" w:cs="ＭＳ 明朝"/>
                <w:color w:val="000000"/>
                <w:kern w:val="0"/>
                <w:szCs w:val="21"/>
              </w:rPr>
              <w:t>※</w:t>
            </w:r>
            <w:r w:rsidR="00C04C9B">
              <w:rPr>
                <w:rFonts w:ascii="ＭＳ 明朝" w:hAnsi="ＭＳ 明朝" w:cs="ＭＳ 明朝" w:hint="eastAsia"/>
                <w:color w:val="000000"/>
                <w:kern w:val="0"/>
                <w:szCs w:val="21"/>
              </w:rPr>
              <w:t>番号７</w:t>
            </w:r>
            <w:r w:rsidR="00064C9B">
              <w:rPr>
                <w:rFonts w:ascii="ＭＳ 明朝" w:hAnsi="ＭＳ 明朝" w:cs="ＭＳ 明朝" w:hint="eastAsia"/>
                <w:color w:val="000000"/>
                <w:kern w:val="0"/>
                <w:szCs w:val="21"/>
              </w:rPr>
              <w:t>・</w:t>
            </w:r>
            <w:r w:rsidR="00C04C9B">
              <w:rPr>
                <w:rFonts w:ascii="ＭＳ 明朝" w:hAnsi="ＭＳ 明朝" w:cs="ＭＳ 明朝" w:hint="eastAsia"/>
                <w:color w:val="000000"/>
                <w:kern w:val="0"/>
                <w:szCs w:val="21"/>
              </w:rPr>
              <w:t>番号８</w:t>
            </w:r>
            <w:r w:rsidRPr="000204C2">
              <w:rPr>
                <w:rFonts w:ascii="ＭＳ 明朝" w:hAnsi="ＭＳ 明朝" w:cs="ＭＳ 明朝"/>
                <w:color w:val="000000"/>
                <w:kern w:val="0"/>
                <w:szCs w:val="21"/>
              </w:rPr>
              <w:t>を必ずチェックする。）</w:t>
            </w:r>
          </w:p>
        </w:tc>
      </w:tr>
      <w:tr w:rsidR="00CE00FE" w:rsidTr="00CE00FE">
        <w:trPr>
          <w:trHeight w:val="485"/>
        </w:trPr>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r w:rsidRPr="002E1F40">
              <w:rPr>
                <w:rFonts w:ascii="ＭＳ 明朝" w:hAnsi="ＭＳ 明朝" w:cs="ＭＳ 明朝" w:hint="eastAsia"/>
                <w:sz w:val="21"/>
                <w:szCs w:val="21"/>
              </w:rPr>
              <w:t>２</w:t>
            </w:r>
          </w:p>
        </w:tc>
        <w:tc>
          <w:tcPr>
            <w:tcW w:w="1701" w:type="dxa"/>
            <w:vMerge w:val="restart"/>
            <w:vAlign w:val="center"/>
          </w:tcPr>
          <w:p w:rsidR="00CE00FE" w:rsidRPr="002E1F40" w:rsidRDefault="00CE00FE" w:rsidP="00CE00FE">
            <w:pPr>
              <w:pStyle w:val="Default"/>
              <w:jc w:val="center"/>
              <w:rPr>
                <w:rFonts w:ascii="ＭＳ 明朝" w:hAnsi="ＭＳ 明朝" w:cs="ＭＳ 明朝"/>
                <w:sz w:val="21"/>
                <w:szCs w:val="21"/>
              </w:rPr>
            </w:pPr>
            <w:r w:rsidRPr="002E1F40">
              <w:rPr>
                <w:rFonts w:ascii="ＭＳ 明朝" w:hAnsi="ＭＳ 明朝" w:cs="ＭＳ 明朝" w:hint="eastAsia"/>
                <w:sz w:val="21"/>
                <w:szCs w:val="21"/>
              </w:rPr>
              <w:t>自主防火管理</w:t>
            </w: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2E1F40">
              <w:rPr>
                <w:rFonts w:ascii="ＭＳ 明朝" w:hAnsi="ＭＳ 明朝" w:cs="ＭＳ 明朝" w:hint="eastAsia"/>
                <w:szCs w:val="21"/>
              </w:rPr>
              <w:t xml:space="preserve">□消火器を準備しています。 </w:t>
            </w:r>
          </w:p>
        </w:tc>
      </w:tr>
      <w:tr w:rsidR="00CE00FE" w:rsidTr="00CE00FE">
        <w:trPr>
          <w:trHeight w:val="417"/>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7796" w:type="dxa"/>
            <w:vAlign w:val="center"/>
          </w:tcPr>
          <w:p w:rsidR="00CE00FE" w:rsidRPr="002E1F40" w:rsidRDefault="00CE00FE" w:rsidP="00CE00FE">
            <w:pPr>
              <w:pStyle w:val="Default"/>
              <w:jc w:val="both"/>
              <w:rPr>
                <w:rFonts w:ascii="ＭＳ 明朝" w:hAnsi="ＭＳ 明朝" w:cs="ＭＳ 明朝"/>
                <w:sz w:val="21"/>
                <w:szCs w:val="21"/>
              </w:rPr>
            </w:pPr>
            <w:r w:rsidRPr="002E1F40">
              <w:rPr>
                <w:rFonts w:ascii="ＭＳ 明朝" w:hAnsi="ＭＳ 明朝" w:cs="ＭＳ 明朝" w:hint="eastAsia"/>
                <w:sz w:val="21"/>
                <w:szCs w:val="21"/>
              </w:rPr>
              <w:t>□消火器の正しい取扱方法を確認しています。</w:t>
            </w:r>
            <w:r w:rsidRPr="002E1F40">
              <w:rPr>
                <w:rFonts w:ascii="ＭＳ 明朝" w:hAnsi="ＭＳ 明朝" w:cs="ＭＳ 明朝" w:hint="eastAsia"/>
                <w:sz w:val="21"/>
                <w:szCs w:val="21"/>
              </w:rPr>
              <w:t xml:space="preserve"> </w:t>
            </w:r>
          </w:p>
        </w:tc>
      </w:tr>
      <w:tr w:rsidR="00CE00FE" w:rsidTr="00CE00FE">
        <w:trPr>
          <w:trHeight w:val="410"/>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7796" w:type="dxa"/>
            <w:vAlign w:val="center"/>
          </w:tcPr>
          <w:p w:rsidR="00CE00FE" w:rsidRPr="002E1F40" w:rsidRDefault="00CE00FE" w:rsidP="00CE00FE">
            <w:pPr>
              <w:pStyle w:val="Default"/>
              <w:jc w:val="both"/>
              <w:rPr>
                <w:rFonts w:ascii="ＭＳ 明朝" w:hAnsi="ＭＳ 明朝" w:cs="ＭＳ 明朝"/>
                <w:sz w:val="21"/>
                <w:szCs w:val="21"/>
              </w:rPr>
            </w:pPr>
            <w:r w:rsidRPr="000204C2">
              <w:rPr>
                <w:rFonts w:hAnsi="ＭＳ ゴシック"/>
                <w:sz w:val="21"/>
                <w:szCs w:val="21"/>
              </w:rPr>
              <w:t>□</w:t>
            </w:r>
            <w:r w:rsidRPr="000204C2">
              <w:rPr>
                <w:rFonts w:ascii="ＭＳ 明朝" w:hAnsi="ＭＳ 明朝" w:cs="ＭＳ 明朝"/>
                <w:sz w:val="21"/>
                <w:szCs w:val="21"/>
              </w:rPr>
              <w:t>万が一に備え、１１９番通報、避難誘導等の担当者を決めています。</w:t>
            </w:r>
          </w:p>
        </w:tc>
      </w:tr>
      <w:tr w:rsidR="00CE00FE" w:rsidTr="00CE00FE">
        <w:trPr>
          <w:trHeight w:val="416"/>
        </w:trPr>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bookmarkStart w:id="0" w:name="_GoBack" w:colFirst="1" w:colLast="1"/>
            <w:r w:rsidRPr="002E1F40">
              <w:rPr>
                <w:rFonts w:ascii="ＭＳ 明朝" w:hAnsi="ＭＳ 明朝" w:cs="ＭＳ 明朝" w:hint="eastAsia"/>
                <w:sz w:val="21"/>
                <w:szCs w:val="21"/>
              </w:rPr>
              <w:t>３</w:t>
            </w:r>
          </w:p>
        </w:tc>
        <w:tc>
          <w:tcPr>
            <w:tcW w:w="1701" w:type="dxa"/>
            <w:vMerge w:val="restart"/>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火気器具等</w:t>
            </w: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火気器具等は安定した不燃性の床、台などの上で使用しています。</w:t>
            </w:r>
          </w:p>
        </w:tc>
      </w:tr>
      <w:tr w:rsidR="00CE00FE" w:rsidTr="00CE00FE">
        <w:trPr>
          <w:trHeight w:val="408"/>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火気器具等の近くには、燃えやすい物を置いていません。</w:t>
            </w:r>
          </w:p>
        </w:tc>
      </w:tr>
      <w:tr w:rsidR="00CE00FE" w:rsidTr="00CE00FE">
        <w:trPr>
          <w:trHeight w:val="413"/>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火気器具等の周囲は、常に整理、清掃に努めています。</w:t>
            </w:r>
          </w:p>
        </w:tc>
      </w:tr>
      <w:tr w:rsidR="00CE00FE" w:rsidTr="00CE00FE">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r w:rsidRPr="002E1F40">
              <w:rPr>
                <w:rFonts w:ascii="ＭＳ 明朝" w:hAnsi="ＭＳ 明朝" w:cs="ＭＳ 明朝" w:hint="eastAsia"/>
                <w:sz w:val="21"/>
                <w:szCs w:val="21"/>
              </w:rPr>
              <w:t>４</w:t>
            </w:r>
          </w:p>
        </w:tc>
        <w:tc>
          <w:tcPr>
            <w:tcW w:w="1701" w:type="dxa"/>
            <w:vMerge w:val="restart"/>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Ｌ</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Ｐ</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ガ</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ス</w:t>
            </w: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ボンベは、平らな直射日光の当たらない風通しの良い場所に、鎖等で固定して設置され、火気器具等から２ｍ以上離れています。</w:t>
            </w:r>
          </w:p>
        </w:tc>
      </w:tr>
      <w:tr w:rsidR="00CE00FE" w:rsidTr="00CE00FE">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ゴムホースは、ひび割れや焦げ等で劣化のないＬＰガス専用のものを使</w:t>
            </w:r>
            <w:r w:rsidRPr="002E1F40">
              <w:rPr>
                <w:rFonts w:ascii="ＭＳ 明朝" w:hAnsi="ＭＳ 明朝" w:cs="ＭＳ 明朝" w:hint="eastAsia"/>
                <w:color w:val="000000"/>
                <w:kern w:val="0"/>
                <w:szCs w:val="21"/>
              </w:rPr>
              <w:t>用</w:t>
            </w:r>
            <w:r w:rsidRPr="00A00D45">
              <w:rPr>
                <w:rFonts w:ascii="ＭＳ 明朝" w:hAnsi="ＭＳ 明朝" w:cs="ＭＳ 明朝"/>
                <w:color w:val="000000"/>
                <w:kern w:val="0"/>
                <w:szCs w:val="21"/>
              </w:rPr>
              <w:t>しています。</w:t>
            </w:r>
          </w:p>
        </w:tc>
      </w:tr>
      <w:tr w:rsidR="00CE00FE" w:rsidTr="00CE00FE">
        <w:trPr>
          <w:trHeight w:val="451"/>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火気器具等とゴムホースの接続は確実に行い、ホースバンドで固定してい</w:t>
            </w:r>
            <w:r w:rsidRPr="002E1F40">
              <w:rPr>
                <w:rFonts w:ascii="ＭＳ 明朝" w:hAnsi="ＭＳ 明朝" w:cs="ＭＳ 明朝" w:hint="eastAsia"/>
                <w:color w:val="000000"/>
                <w:kern w:val="0"/>
                <w:szCs w:val="21"/>
              </w:rPr>
              <w:t>ます。</w:t>
            </w:r>
          </w:p>
        </w:tc>
      </w:tr>
      <w:tr w:rsidR="00CE00FE" w:rsidTr="00CE00FE">
        <w:trPr>
          <w:trHeight w:val="415"/>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2E1F40">
              <w:rPr>
                <w:rFonts w:ascii="ＭＳ 明朝" w:hAnsi="ＭＳ 明朝" w:cs="ＭＳ 明朝"/>
                <w:color w:val="000000"/>
                <w:kern w:val="0"/>
                <w:szCs w:val="21"/>
              </w:rPr>
              <w:t>１本のボンベから２以上の火気器具等に分岐して使用していま</w:t>
            </w:r>
            <w:r w:rsidRPr="002E1F40">
              <w:rPr>
                <w:rFonts w:ascii="ＭＳ 明朝" w:hAnsi="ＭＳ 明朝" w:cs="ＭＳ 明朝" w:hint="eastAsia"/>
                <w:color w:val="000000"/>
                <w:kern w:val="0"/>
                <w:szCs w:val="21"/>
              </w:rPr>
              <w:t>せ</w:t>
            </w:r>
            <w:r w:rsidRPr="00A00D45">
              <w:rPr>
                <w:rFonts w:ascii="ＭＳ 明朝" w:hAnsi="ＭＳ 明朝" w:cs="ＭＳ 明朝"/>
                <w:color w:val="000000"/>
                <w:kern w:val="0"/>
                <w:szCs w:val="21"/>
              </w:rPr>
              <w:t>ん。</w:t>
            </w:r>
          </w:p>
        </w:tc>
      </w:tr>
      <w:tr w:rsidR="00CE00FE" w:rsidTr="00CE00FE">
        <w:trPr>
          <w:trHeight w:val="445"/>
        </w:trPr>
        <w:tc>
          <w:tcPr>
            <w:tcW w:w="959" w:type="dxa"/>
            <w:vAlign w:val="center"/>
          </w:tcPr>
          <w:p w:rsidR="00CE00FE" w:rsidRPr="002E1F40" w:rsidRDefault="00CE00FE" w:rsidP="00CE00FE">
            <w:pPr>
              <w:pStyle w:val="Default"/>
              <w:jc w:val="center"/>
              <w:rPr>
                <w:rFonts w:ascii="ＭＳ 明朝" w:hAnsi="ＭＳ 明朝" w:cs="ＭＳ 明朝"/>
                <w:sz w:val="21"/>
                <w:szCs w:val="21"/>
              </w:rPr>
            </w:pPr>
            <w:r w:rsidRPr="002E1F40">
              <w:rPr>
                <w:rFonts w:ascii="ＭＳ 明朝" w:hAnsi="ＭＳ 明朝" w:cs="ＭＳ 明朝" w:hint="eastAsia"/>
                <w:sz w:val="21"/>
                <w:szCs w:val="21"/>
              </w:rPr>
              <w:t>５</w:t>
            </w:r>
          </w:p>
        </w:tc>
        <w:tc>
          <w:tcPr>
            <w:tcW w:w="1701" w:type="dxa"/>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カセットこんろ</w:t>
            </w: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カ</w:t>
            </w:r>
            <w:r>
              <w:rPr>
                <w:rFonts w:ascii="ＭＳ 明朝" w:hAnsi="ＭＳ 明朝" w:cs="ＭＳ 明朝"/>
                <w:color w:val="000000"/>
                <w:kern w:val="0"/>
                <w:szCs w:val="21"/>
              </w:rPr>
              <w:t>セットコンロを使用する場合は、取扱い注意事項を守り正しく使用し</w:t>
            </w:r>
            <w:r w:rsidRPr="002E1F40">
              <w:rPr>
                <w:rFonts w:ascii="ＭＳ 明朝" w:hAnsi="ＭＳ 明朝" w:cs="ＭＳ 明朝" w:hint="eastAsia"/>
                <w:color w:val="000000"/>
                <w:kern w:val="0"/>
                <w:szCs w:val="21"/>
              </w:rPr>
              <w:t>ます。</w:t>
            </w:r>
          </w:p>
        </w:tc>
      </w:tr>
      <w:tr w:rsidR="00CE00FE" w:rsidRPr="00A00D45" w:rsidTr="00CE00FE">
        <w:trPr>
          <w:trHeight w:val="400"/>
        </w:trPr>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r>
              <w:rPr>
                <w:rFonts w:ascii="ＭＳ 明朝" w:hAnsi="ＭＳ 明朝" w:cs="ＭＳ 明朝" w:hint="eastAsia"/>
                <w:sz w:val="21"/>
                <w:szCs w:val="21"/>
              </w:rPr>
              <w:t>６</w:t>
            </w:r>
          </w:p>
        </w:tc>
        <w:tc>
          <w:tcPr>
            <w:tcW w:w="1701" w:type="dxa"/>
            <w:vMerge w:val="restart"/>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電</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気</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器</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具</w:t>
            </w: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たこ足配線はせず、許容電流を守っています。</w:t>
            </w:r>
          </w:p>
        </w:tc>
      </w:tr>
      <w:tr w:rsidR="00CE00FE" w:rsidRPr="00A00D45" w:rsidTr="00CE00FE">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水がかかるおそれがある電気器具、コンセントは防水性能があるものを使用しています。</w:t>
            </w:r>
          </w:p>
        </w:tc>
      </w:tr>
      <w:tr w:rsidR="00CE00FE" w:rsidRPr="00A00D45" w:rsidTr="00CE00FE">
        <w:trPr>
          <w:trHeight w:val="358"/>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コンセント、配線には、照明器具等の荷重がかからないようにしています。</w:t>
            </w:r>
          </w:p>
        </w:tc>
      </w:tr>
      <w:tr w:rsidR="00CE00FE" w:rsidRPr="00A00D45" w:rsidTr="00CE00FE">
        <w:trPr>
          <w:trHeight w:val="385"/>
        </w:trPr>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r>
              <w:rPr>
                <w:rFonts w:ascii="ＭＳ 明朝" w:hAnsi="ＭＳ 明朝" w:cs="ＭＳ 明朝" w:hint="eastAsia"/>
                <w:sz w:val="21"/>
                <w:szCs w:val="21"/>
              </w:rPr>
              <w:t>７</w:t>
            </w:r>
          </w:p>
        </w:tc>
        <w:tc>
          <w:tcPr>
            <w:tcW w:w="1701" w:type="dxa"/>
            <w:vMerge w:val="restart"/>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発</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電</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機</w:t>
            </w: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発電機は、正しい使用・取扱い方法を確実に理解しています。</w:t>
            </w:r>
          </w:p>
        </w:tc>
      </w:tr>
      <w:tr w:rsidR="00CE00FE" w:rsidRPr="00A00D45" w:rsidTr="00CE00FE">
        <w:trPr>
          <w:trHeight w:val="404"/>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観客等が容易に近づけないように、ロープ等で区画しています。</w:t>
            </w:r>
          </w:p>
        </w:tc>
      </w:tr>
      <w:tr w:rsidR="00CE00FE" w:rsidRPr="00A00D45" w:rsidTr="00CE00FE">
        <w:trPr>
          <w:trHeight w:val="419"/>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途中で給油しなくても良いようにしています。</w:t>
            </w:r>
          </w:p>
        </w:tc>
      </w:tr>
      <w:tr w:rsidR="00CE00FE" w:rsidRPr="00A00D45" w:rsidTr="00CE00FE">
        <w:trPr>
          <w:trHeight w:val="417"/>
        </w:trPr>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rPr>
                <w:rFonts w:ascii="ＭＳ ゴシック" w:hAnsi="ＭＳ ゴシック" w:cs="ＭＳ ゴシック"/>
                <w:color w:val="000000"/>
                <w:kern w:val="0"/>
                <w:szCs w:val="21"/>
              </w:rPr>
            </w:pPr>
            <w:r w:rsidRPr="00A00D45">
              <w:rPr>
                <w:rFonts w:ascii="ＭＳ ゴシック" w:hAnsi="ＭＳ ゴシック" w:cs="ＭＳ ゴシック"/>
                <w:color w:val="000000"/>
                <w:kern w:val="0"/>
                <w:szCs w:val="21"/>
              </w:rPr>
              <w:t>□</w:t>
            </w:r>
            <w:r w:rsidRPr="00A00D45">
              <w:rPr>
                <w:rFonts w:ascii="ＭＳ 明朝" w:hAnsi="ＭＳ 明朝" w:cs="ＭＳ 明朝"/>
                <w:color w:val="000000"/>
                <w:kern w:val="0"/>
                <w:szCs w:val="21"/>
              </w:rPr>
              <w:t>運転中、暗い場所や観客等のいる場所での給油は絶対にしません。</w:t>
            </w:r>
          </w:p>
        </w:tc>
      </w:tr>
      <w:tr w:rsidR="00CE00FE" w:rsidRPr="00A00D45" w:rsidTr="00CE00FE">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r>
              <w:rPr>
                <w:rFonts w:ascii="ＭＳ 明朝" w:hAnsi="ＭＳ 明朝" w:cs="ＭＳ 明朝" w:hint="eastAsia"/>
                <w:sz w:val="21"/>
                <w:szCs w:val="21"/>
              </w:rPr>
              <w:t>８</w:t>
            </w:r>
          </w:p>
        </w:tc>
        <w:tc>
          <w:tcPr>
            <w:tcW w:w="1701" w:type="dxa"/>
            <w:vMerge w:val="restart"/>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危険物容器</w:t>
            </w: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555488">
              <w:rPr>
                <w:rFonts w:ascii="ＭＳ ゴシック" w:hAnsi="ＭＳ ゴシック" w:cs="ＭＳ ゴシック"/>
                <w:color w:val="000000"/>
                <w:kern w:val="0"/>
                <w:szCs w:val="21"/>
              </w:rPr>
              <w:t>□</w:t>
            </w:r>
            <w:r w:rsidRPr="00555488">
              <w:rPr>
                <w:rFonts w:ascii="ＭＳ 明朝" w:hAnsi="ＭＳ 明朝" w:cs="ＭＳ 明朝"/>
                <w:color w:val="000000"/>
                <w:kern w:val="0"/>
                <w:szCs w:val="21"/>
              </w:rPr>
              <w:t>運搬及び保管する容器は、消防法令に適合した金属容器を使用し、キャップを確実に締め、取扱説明書に基づき正しく使用します。</w:t>
            </w:r>
          </w:p>
        </w:tc>
      </w:tr>
      <w:tr w:rsidR="00CE00FE" w:rsidRPr="00A00D45" w:rsidTr="00CE00FE">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555488">
              <w:rPr>
                <w:rFonts w:ascii="ＭＳ ゴシック" w:hAnsi="ＭＳ ゴシック" w:cs="ＭＳ ゴシック"/>
                <w:color w:val="000000"/>
                <w:kern w:val="0"/>
                <w:szCs w:val="21"/>
              </w:rPr>
              <w:t>□</w:t>
            </w:r>
            <w:r w:rsidRPr="00555488">
              <w:rPr>
                <w:rFonts w:ascii="ＭＳ 明朝" w:hAnsi="ＭＳ 明朝" w:cs="ＭＳ 明朝"/>
                <w:color w:val="000000"/>
                <w:kern w:val="0"/>
                <w:szCs w:val="21"/>
              </w:rPr>
              <w:t>直射日光が当たらない風通しの良い場所で、発電機及び観客等から十分な安全な距離を保っています。</w:t>
            </w:r>
          </w:p>
        </w:tc>
      </w:tr>
      <w:tr w:rsidR="00CE00FE" w:rsidRPr="00A00D45" w:rsidTr="00CE00FE">
        <w:tc>
          <w:tcPr>
            <w:tcW w:w="959" w:type="dxa"/>
            <w:vMerge/>
            <w:vAlign w:val="center"/>
          </w:tcPr>
          <w:p w:rsidR="00CE00FE" w:rsidRPr="002E1F40" w:rsidRDefault="00CE00FE" w:rsidP="00CE00FE">
            <w:pPr>
              <w:pStyle w:val="Default"/>
              <w:jc w:val="center"/>
              <w:rPr>
                <w:rFonts w:ascii="ＭＳ 明朝" w:hAnsi="ＭＳ 明朝" w:cs="ＭＳ 明朝"/>
                <w:sz w:val="21"/>
                <w:szCs w:val="21"/>
              </w:rPr>
            </w:pPr>
          </w:p>
        </w:tc>
        <w:tc>
          <w:tcPr>
            <w:tcW w:w="1701" w:type="dxa"/>
            <w:vMerge/>
            <w:vAlign w:val="center"/>
          </w:tcPr>
          <w:p w:rsidR="00CE00FE" w:rsidRPr="00736AB1" w:rsidRDefault="00CE00FE" w:rsidP="00CE00FE">
            <w:pPr>
              <w:pStyle w:val="Default"/>
              <w:jc w:val="center"/>
              <w:rPr>
                <w:rFonts w:ascii="ＭＳ 明朝" w:hAnsi="ＭＳ 明朝" w:cs="ＭＳ 明朝"/>
                <w:color w:val="auto"/>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555488">
              <w:rPr>
                <w:rFonts w:ascii="ＭＳ ゴシック" w:hAnsi="ＭＳ ゴシック" w:cs="ＭＳ ゴシック"/>
                <w:color w:val="000000"/>
                <w:kern w:val="0"/>
                <w:szCs w:val="21"/>
              </w:rPr>
              <w:t>□</w:t>
            </w:r>
            <w:r w:rsidRPr="00555488">
              <w:rPr>
                <w:rFonts w:ascii="ＭＳ 明朝" w:hAnsi="ＭＳ 明朝" w:cs="ＭＳ 明朝"/>
                <w:color w:val="000000"/>
                <w:kern w:val="0"/>
                <w:szCs w:val="21"/>
              </w:rPr>
              <w:t>容器のキャップを開ける前には、必ず安全な場所で圧力調整弁から圧力抜きを確実に行いま</w:t>
            </w:r>
            <w:r w:rsidRPr="002E1F40">
              <w:rPr>
                <w:rFonts w:ascii="ＭＳ 明朝" w:hAnsi="ＭＳ 明朝" w:cs="ＭＳ 明朝" w:hint="eastAsia"/>
                <w:color w:val="000000"/>
                <w:kern w:val="0"/>
                <w:szCs w:val="21"/>
              </w:rPr>
              <w:t>す。</w:t>
            </w:r>
          </w:p>
        </w:tc>
      </w:tr>
      <w:tr w:rsidR="00CE00FE" w:rsidRPr="00A00D45" w:rsidTr="00CE00FE">
        <w:tc>
          <w:tcPr>
            <w:tcW w:w="959" w:type="dxa"/>
            <w:vAlign w:val="center"/>
          </w:tcPr>
          <w:p w:rsidR="00CE00FE" w:rsidRPr="002E1F40" w:rsidRDefault="00CE00FE" w:rsidP="00CE00FE">
            <w:pPr>
              <w:pStyle w:val="Default"/>
              <w:jc w:val="center"/>
              <w:rPr>
                <w:rFonts w:ascii="ＭＳ 明朝" w:hAnsi="ＭＳ 明朝" w:cs="ＭＳ 明朝"/>
                <w:sz w:val="21"/>
                <w:szCs w:val="21"/>
              </w:rPr>
            </w:pPr>
            <w:r>
              <w:rPr>
                <w:rFonts w:ascii="ＭＳ 明朝" w:hAnsi="ＭＳ 明朝" w:cs="ＭＳ 明朝" w:hint="eastAsia"/>
                <w:sz w:val="21"/>
                <w:szCs w:val="21"/>
              </w:rPr>
              <w:t>９</w:t>
            </w:r>
          </w:p>
        </w:tc>
        <w:tc>
          <w:tcPr>
            <w:tcW w:w="1701" w:type="dxa"/>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玩具用花火</w:t>
            </w: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B53B8A">
              <w:rPr>
                <w:rFonts w:ascii="ＭＳ ゴシック" w:hAnsi="ＭＳ ゴシック" w:cs="ＭＳ ゴシック"/>
                <w:color w:val="000000"/>
                <w:kern w:val="0"/>
                <w:szCs w:val="21"/>
              </w:rPr>
              <w:t>□</w:t>
            </w:r>
            <w:r w:rsidRPr="00B53B8A">
              <w:rPr>
                <w:rFonts w:ascii="ＭＳ 明朝" w:hAnsi="ＭＳ 明朝" w:cs="ＭＳ 明朝"/>
                <w:color w:val="000000"/>
                <w:kern w:val="0"/>
                <w:szCs w:val="21"/>
              </w:rPr>
              <w:t>たばこ等の火で着火しないよう、蓋のある不燃性の容器に入れるか、防炎シートで覆って販売します</w:t>
            </w:r>
          </w:p>
        </w:tc>
      </w:tr>
      <w:tr w:rsidR="00CE00FE" w:rsidRPr="00A00D45" w:rsidTr="00CE00FE">
        <w:tc>
          <w:tcPr>
            <w:tcW w:w="959" w:type="dxa"/>
            <w:vAlign w:val="center"/>
          </w:tcPr>
          <w:p w:rsidR="00CE00FE" w:rsidRPr="002E1F40" w:rsidRDefault="00CE00FE" w:rsidP="00CE00FE">
            <w:pPr>
              <w:pStyle w:val="Default"/>
              <w:jc w:val="center"/>
              <w:rPr>
                <w:rFonts w:ascii="ＭＳ 明朝" w:hAnsi="ＭＳ 明朝" w:cs="ＭＳ 明朝"/>
                <w:sz w:val="21"/>
                <w:szCs w:val="21"/>
              </w:rPr>
            </w:pPr>
            <w:r>
              <w:rPr>
                <w:rFonts w:ascii="ＭＳ 明朝" w:hAnsi="ＭＳ 明朝" w:cs="ＭＳ 明朝" w:hint="eastAsia"/>
                <w:sz w:val="21"/>
                <w:szCs w:val="21"/>
              </w:rPr>
              <w:t>１０</w:t>
            </w:r>
          </w:p>
        </w:tc>
        <w:tc>
          <w:tcPr>
            <w:tcW w:w="1701" w:type="dxa"/>
            <w:vAlign w:val="center"/>
          </w:tcPr>
          <w:p w:rsidR="00CE00FE" w:rsidRPr="00736AB1" w:rsidRDefault="00CE00FE" w:rsidP="00CE00FE">
            <w:pPr>
              <w:pStyle w:val="Default"/>
              <w:jc w:val="center"/>
              <w:rPr>
                <w:rFonts w:ascii="ＭＳ 明朝" w:hAnsi="ＭＳ 明朝" w:cs="ＭＳ 明朝"/>
                <w:color w:val="auto"/>
                <w:sz w:val="21"/>
                <w:szCs w:val="21"/>
              </w:rPr>
            </w:pPr>
            <w:r w:rsidRPr="00736AB1">
              <w:rPr>
                <w:rFonts w:ascii="ＭＳ 明朝" w:hAnsi="ＭＳ 明朝" w:cs="ＭＳ 明朝" w:hint="eastAsia"/>
                <w:color w:val="auto"/>
                <w:sz w:val="21"/>
                <w:szCs w:val="21"/>
              </w:rPr>
              <w:t>暖</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房</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器</w:t>
            </w:r>
            <w:r w:rsidRPr="00736AB1">
              <w:rPr>
                <w:rFonts w:ascii="ＭＳ 明朝" w:hAnsi="ＭＳ 明朝" w:cs="ＭＳ 明朝" w:hint="eastAsia"/>
                <w:color w:val="auto"/>
                <w:sz w:val="21"/>
                <w:szCs w:val="21"/>
              </w:rPr>
              <w:t xml:space="preserve"> </w:t>
            </w:r>
            <w:r w:rsidRPr="00736AB1">
              <w:rPr>
                <w:rFonts w:ascii="ＭＳ 明朝" w:hAnsi="ＭＳ 明朝" w:cs="ＭＳ 明朝" w:hint="eastAsia"/>
                <w:color w:val="auto"/>
                <w:sz w:val="21"/>
                <w:szCs w:val="21"/>
              </w:rPr>
              <w:t>具</w:t>
            </w: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B53B8A">
              <w:rPr>
                <w:rFonts w:ascii="ＭＳ ゴシック" w:hAnsi="ＭＳ ゴシック" w:cs="ＭＳ ゴシック"/>
                <w:color w:val="000000"/>
                <w:kern w:val="0"/>
                <w:szCs w:val="21"/>
              </w:rPr>
              <w:t>□</w:t>
            </w:r>
            <w:r w:rsidRPr="00B53B8A">
              <w:rPr>
                <w:rFonts w:ascii="ＭＳ 明朝" w:hAnsi="ＭＳ 明朝" w:cs="ＭＳ 明朝"/>
                <w:color w:val="000000"/>
                <w:kern w:val="0"/>
                <w:szCs w:val="21"/>
              </w:rPr>
              <w:t>暖房器具は、燃えやすいものから十分離して使用し、使用中はその場を離れません。</w:t>
            </w:r>
          </w:p>
        </w:tc>
      </w:tr>
      <w:bookmarkEnd w:id="0"/>
      <w:tr w:rsidR="00CE00FE" w:rsidRPr="00A00D45" w:rsidTr="00CE00FE">
        <w:tc>
          <w:tcPr>
            <w:tcW w:w="959" w:type="dxa"/>
            <w:vMerge w:val="restart"/>
            <w:vAlign w:val="center"/>
          </w:tcPr>
          <w:p w:rsidR="00CE00FE" w:rsidRPr="002E1F40" w:rsidRDefault="00CE00FE" w:rsidP="00CE00FE">
            <w:pPr>
              <w:pStyle w:val="Default"/>
              <w:jc w:val="center"/>
              <w:rPr>
                <w:rFonts w:ascii="ＭＳ 明朝" w:hAnsi="ＭＳ 明朝" w:cs="ＭＳ 明朝"/>
                <w:sz w:val="21"/>
                <w:szCs w:val="21"/>
              </w:rPr>
            </w:pPr>
            <w:r>
              <w:rPr>
                <w:rFonts w:ascii="ＭＳ 明朝" w:hAnsi="ＭＳ 明朝" w:cs="ＭＳ 明朝" w:hint="eastAsia"/>
                <w:sz w:val="21"/>
                <w:szCs w:val="21"/>
              </w:rPr>
              <w:t>１１</w:t>
            </w:r>
          </w:p>
        </w:tc>
        <w:tc>
          <w:tcPr>
            <w:tcW w:w="1701" w:type="dxa"/>
            <w:vMerge w:val="restart"/>
            <w:vAlign w:val="center"/>
          </w:tcPr>
          <w:p w:rsidR="00CE00FE" w:rsidRPr="00736AB1" w:rsidRDefault="00CE00FE" w:rsidP="00CE00FE">
            <w:pPr>
              <w:pStyle w:val="Default"/>
              <w:jc w:val="center"/>
              <w:rPr>
                <w:rFonts w:ascii="ＭＳ 明朝" w:hAnsi="ＭＳ 明朝" w:cs="ＭＳ 明朝"/>
                <w:sz w:val="21"/>
                <w:szCs w:val="21"/>
              </w:rPr>
            </w:pPr>
            <w:r w:rsidRPr="00736AB1">
              <w:rPr>
                <w:rFonts w:ascii="ＭＳ 明朝" w:hAnsi="ＭＳ 明朝" w:cs="ＭＳ 明朝" w:hint="eastAsia"/>
                <w:sz w:val="21"/>
                <w:szCs w:val="21"/>
              </w:rPr>
              <w:t>放火防止対策等</w:t>
            </w: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B53B8A">
              <w:rPr>
                <w:rFonts w:ascii="ＭＳ ゴシック" w:hAnsi="ＭＳ ゴシック" w:cs="ＭＳ ゴシック"/>
                <w:color w:val="000000"/>
                <w:kern w:val="0"/>
                <w:szCs w:val="21"/>
              </w:rPr>
              <w:t>□</w:t>
            </w:r>
            <w:r w:rsidRPr="00B53B8A">
              <w:rPr>
                <w:rFonts w:ascii="ＭＳ 明朝" w:hAnsi="ＭＳ 明朝" w:cs="ＭＳ 明朝"/>
                <w:color w:val="000000"/>
                <w:kern w:val="0"/>
                <w:szCs w:val="21"/>
              </w:rPr>
              <w:t>２日間以上にわたり開設する場合には、ＬＰガスボンベその他の燃料、発電機は、露店終了後には持ち帰ります。</w:t>
            </w:r>
          </w:p>
        </w:tc>
      </w:tr>
      <w:tr w:rsidR="00CE00FE" w:rsidRPr="00A00D45" w:rsidTr="00CE00FE">
        <w:trPr>
          <w:trHeight w:val="385"/>
        </w:trPr>
        <w:tc>
          <w:tcPr>
            <w:tcW w:w="959" w:type="dxa"/>
            <w:vMerge/>
          </w:tcPr>
          <w:p w:rsidR="00CE00FE" w:rsidRPr="002E1F40" w:rsidRDefault="00CE00FE" w:rsidP="00CE00FE">
            <w:pPr>
              <w:pStyle w:val="Default"/>
              <w:rPr>
                <w:rFonts w:ascii="ＭＳ 明朝" w:hAnsi="ＭＳ 明朝" w:cs="ＭＳ 明朝"/>
                <w:sz w:val="21"/>
                <w:szCs w:val="21"/>
              </w:rPr>
            </w:pPr>
          </w:p>
        </w:tc>
        <w:tc>
          <w:tcPr>
            <w:tcW w:w="1701" w:type="dxa"/>
            <w:vMerge/>
          </w:tcPr>
          <w:p w:rsidR="00CE00FE" w:rsidRPr="002E1F40" w:rsidRDefault="00CE00FE" w:rsidP="00CE00FE">
            <w:pPr>
              <w:pStyle w:val="Default"/>
              <w:rPr>
                <w:rFonts w:ascii="ＭＳ 明朝" w:hAnsi="ＭＳ 明朝" w:cs="ＭＳ 明朝"/>
                <w:sz w:val="21"/>
                <w:szCs w:val="21"/>
              </w:rPr>
            </w:pPr>
          </w:p>
        </w:tc>
        <w:tc>
          <w:tcPr>
            <w:tcW w:w="7796" w:type="dxa"/>
            <w:vAlign w:val="center"/>
          </w:tcPr>
          <w:p w:rsidR="00CE00FE" w:rsidRPr="002E1F40" w:rsidRDefault="00CE00FE" w:rsidP="00CE00FE">
            <w:pPr>
              <w:autoSpaceDE w:val="0"/>
              <w:autoSpaceDN w:val="0"/>
              <w:adjustRightInd w:val="0"/>
              <w:ind w:left="210" w:hangingChars="100" w:hanging="210"/>
              <w:rPr>
                <w:rFonts w:ascii="ＭＳ ゴシック" w:hAnsi="ＭＳ ゴシック" w:cs="ＭＳ ゴシック"/>
                <w:color w:val="000000"/>
                <w:kern w:val="0"/>
                <w:szCs w:val="21"/>
              </w:rPr>
            </w:pPr>
            <w:r w:rsidRPr="00B53B8A">
              <w:rPr>
                <w:rFonts w:ascii="ＭＳ ゴシック" w:hAnsi="ＭＳ ゴシック" w:cs="ＭＳ ゴシック"/>
                <w:color w:val="000000"/>
                <w:kern w:val="0"/>
                <w:szCs w:val="21"/>
              </w:rPr>
              <w:t>□</w:t>
            </w:r>
            <w:r w:rsidRPr="00B53B8A">
              <w:rPr>
                <w:rFonts w:ascii="ＭＳ 明朝" w:hAnsi="ＭＳ 明朝" w:cs="ＭＳ 明朝"/>
                <w:color w:val="000000"/>
                <w:kern w:val="0"/>
                <w:szCs w:val="21"/>
              </w:rPr>
              <w:t>ゴミ等の可燃物を持ち帰り、整理整頓を確実に実施します。</w:t>
            </w:r>
          </w:p>
        </w:tc>
      </w:tr>
    </w:tbl>
    <w:p w:rsidR="00B53B8A" w:rsidRPr="00AD3FC1" w:rsidRDefault="00B53B8A"/>
    <w:sectPr w:rsidR="00B53B8A" w:rsidRPr="00AD3FC1" w:rsidSect="002E1F40">
      <w:pgSz w:w="11906" w:h="16838"/>
      <w:pgMar w:top="709" w:right="1701" w:bottom="709" w:left="1701" w:header="1134"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576" w:rsidRDefault="009A5576" w:rsidP="00EC6D95">
      <w:r>
        <w:separator/>
      </w:r>
    </w:p>
  </w:endnote>
  <w:endnote w:type="continuationSeparator" w:id="0">
    <w:p w:rsidR="009A5576" w:rsidRDefault="009A5576" w:rsidP="00EC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576" w:rsidRDefault="009A5576" w:rsidP="00EC6D95">
      <w:r>
        <w:separator/>
      </w:r>
    </w:p>
  </w:footnote>
  <w:footnote w:type="continuationSeparator" w:id="0">
    <w:p w:rsidR="009A5576" w:rsidRDefault="009A5576" w:rsidP="00EC6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C1"/>
    <w:rsid w:val="00004709"/>
    <w:rsid w:val="000204C2"/>
    <w:rsid w:val="00064C9B"/>
    <w:rsid w:val="002E1F40"/>
    <w:rsid w:val="00312CF1"/>
    <w:rsid w:val="00317D01"/>
    <w:rsid w:val="00365AC0"/>
    <w:rsid w:val="00455AFD"/>
    <w:rsid w:val="004B6682"/>
    <w:rsid w:val="00555488"/>
    <w:rsid w:val="00736AB1"/>
    <w:rsid w:val="00831F8B"/>
    <w:rsid w:val="00845C18"/>
    <w:rsid w:val="008562CD"/>
    <w:rsid w:val="008E51A1"/>
    <w:rsid w:val="009A5576"/>
    <w:rsid w:val="00A00D45"/>
    <w:rsid w:val="00AD3FC1"/>
    <w:rsid w:val="00B53B8A"/>
    <w:rsid w:val="00C04C9B"/>
    <w:rsid w:val="00C33292"/>
    <w:rsid w:val="00CD49E9"/>
    <w:rsid w:val="00CE00FE"/>
    <w:rsid w:val="00CF5D80"/>
    <w:rsid w:val="00E62598"/>
    <w:rsid w:val="00EC6D95"/>
    <w:rsid w:val="00E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3FC1"/>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AD3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C6D95"/>
    <w:pPr>
      <w:tabs>
        <w:tab w:val="center" w:pos="4252"/>
        <w:tab w:val="right" w:pos="8504"/>
      </w:tabs>
      <w:snapToGrid w:val="0"/>
    </w:pPr>
  </w:style>
  <w:style w:type="character" w:customStyle="1" w:styleId="a5">
    <w:name w:val="ヘッダー (文字)"/>
    <w:basedOn w:val="a0"/>
    <w:link w:val="a4"/>
    <w:uiPriority w:val="99"/>
    <w:rsid w:val="00EC6D95"/>
  </w:style>
  <w:style w:type="paragraph" w:styleId="a6">
    <w:name w:val="footer"/>
    <w:basedOn w:val="a"/>
    <w:link w:val="a7"/>
    <w:uiPriority w:val="99"/>
    <w:unhideWhenUsed/>
    <w:rsid w:val="00EC6D95"/>
    <w:pPr>
      <w:tabs>
        <w:tab w:val="center" w:pos="4252"/>
        <w:tab w:val="right" w:pos="8504"/>
      </w:tabs>
      <w:snapToGrid w:val="0"/>
    </w:pPr>
  </w:style>
  <w:style w:type="character" w:customStyle="1" w:styleId="a7">
    <w:name w:val="フッター (文字)"/>
    <w:basedOn w:val="a0"/>
    <w:link w:val="a6"/>
    <w:uiPriority w:val="99"/>
    <w:rsid w:val="00EC6D95"/>
  </w:style>
  <w:style w:type="paragraph" w:styleId="a8">
    <w:name w:val="Balloon Text"/>
    <w:basedOn w:val="a"/>
    <w:link w:val="a9"/>
    <w:uiPriority w:val="99"/>
    <w:semiHidden/>
    <w:unhideWhenUsed/>
    <w:rsid w:val="00EC6D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3FC1"/>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AD3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C6D95"/>
    <w:pPr>
      <w:tabs>
        <w:tab w:val="center" w:pos="4252"/>
        <w:tab w:val="right" w:pos="8504"/>
      </w:tabs>
      <w:snapToGrid w:val="0"/>
    </w:pPr>
  </w:style>
  <w:style w:type="character" w:customStyle="1" w:styleId="a5">
    <w:name w:val="ヘッダー (文字)"/>
    <w:basedOn w:val="a0"/>
    <w:link w:val="a4"/>
    <w:uiPriority w:val="99"/>
    <w:rsid w:val="00EC6D95"/>
  </w:style>
  <w:style w:type="paragraph" w:styleId="a6">
    <w:name w:val="footer"/>
    <w:basedOn w:val="a"/>
    <w:link w:val="a7"/>
    <w:uiPriority w:val="99"/>
    <w:unhideWhenUsed/>
    <w:rsid w:val="00EC6D95"/>
    <w:pPr>
      <w:tabs>
        <w:tab w:val="center" w:pos="4252"/>
        <w:tab w:val="right" w:pos="8504"/>
      </w:tabs>
      <w:snapToGrid w:val="0"/>
    </w:pPr>
  </w:style>
  <w:style w:type="character" w:customStyle="1" w:styleId="a7">
    <w:name w:val="フッター (文字)"/>
    <w:basedOn w:val="a0"/>
    <w:link w:val="a6"/>
    <w:uiPriority w:val="99"/>
    <w:rsid w:val="00EC6D95"/>
  </w:style>
  <w:style w:type="paragraph" w:styleId="a8">
    <w:name w:val="Balloon Text"/>
    <w:basedOn w:val="a"/>
    <w:link w:val="a9"/>
    <w:uiPriority w:val="99"/>
    <w:semiHidden/>
    <w:unhideWhenUsed/>
    <w:rsid w:val="00EC6D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cp:lastModifiedBy>
  <cp:revision>11</cp:revision>
  <dcterms:created xsi:type="dcterms:W3CDTF">2014-06-17T06:28:00Z</dcterms:created>
  <dcterms:modified xsi:type="dcterms:W3CDTF">2014-07-16T07:38:00Z</dcterms:modified>
</cp:coreProperties>
</file>